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4F" w:rsidRPr="0049264F" w:rsidRDefault="0049264F" w:rsidP="00492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64F"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  <w:r w:rsidRPr="0049264F">
        <w:rPr>
          <w:rFonts w:ascii="Times New Roman" w:eastAsia="Times New Roman" w:hAnsi="Times New Roman" w:cs="Times New Roman"/>
          <w:sz w:val="28"/>
          <w:szCs w:val="28"/>
        </w:rPr>
        <w:br/>
        <w:t xml:space="preserve">01135, м. </w:t>
      </w:r>
      <w:proofErr w:type="spellStart"/>
      <w:r w:rsidRPr="0049264F"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 w:rsidRPr="0049264F">
        <w:rPr>
          <w:rFonts w:ascii="Times New Roman" w:eastAsia="Times New Roman" w:hAnsi="Times New Roman" w:cs="Times New Roman"/>
          <w:sz w:val="28"/>
          <w:szCs w:val="28"/>
        </w:rPr>
        <w:t>, проспект Перемоги, 10, тел. (044) 486-24-42, факс (044) 236-10-49, ministry@mon.gov.ua</w:t>
      </w:r>
    </w:p>
    <w:p w:rsidR="0049264F" w:rsidRPr="0049264F" w:rsidRDefault="0049264F" w:rsidP="0049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0"/>
        <w:gridCol w:w="3613"/>
      </w:tblGrid>
      <w:tr w:rsidR="0049264F" w:rsidRPr="0049264F">
        <w:trPr>
          <w:tblCellSpacing w:w="7" w:type="dxa"/>
        </w:trPr>
        <w:tc>
          <w:tcPr>
            <w:tcW w:w="0" w:type="auto"/>
            <w:vAlign w:val="center"/>
            <w:hideMark/>
          </w:tcPr>
          <w:p w:rsidR="0049264F" w:rsidRPr="0049264F" w:rsidRDefault="0049264F" w:rsidP="004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264F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92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11.09.2009 р.</w:t>
            </w:r>
          </w:p>
        </w:tc>
        <w:tc>
          <w:tcPr>
            <w:tcW w:w="0" w:type="auto"/>
            <w:vAlign w:val="center"/>
            <w:hideMark/>
          </w:tcPr>
          <w:p w:rsidR="0049264F" w:rsidRPr="0049264F" w:rsidRDefault="0049264F" w:rsidP="0049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4F">
              <w:rPr>
                <w:rFonts w:ascii="Times New Roman" w:eastAsia="Times New Roman" w:hAnsi="Times New Roman" w:cs="Times New Roman"/>
                <w:sz w:val="28"/>
                <w:szCs w:val="28"/>
              </w:rPr>
              <w:t>№ 1/9-632</w:t>
            </w:r>
          </w:p>
        </w:tc>
      </w:tr>
    </w:tbl>
    <w:p w:rsidR="0049264F" w:rsidRPr="0049264F" w:rsidRDefault="0049264F" w:rsidP="0049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64F" w:rsidRPr="0049264F" w:rsidRDefault="0049264F" w:rsidP="004926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00"/>
          <w:sz w:val="28"/>
          <w:szCs w:val="28"/>
        </w:rPr>
      </w:pP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Міністерство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освіти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науки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Автономної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Республіки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Крим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,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управління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освіти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науки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обласних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Київської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Севастопольської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міських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державних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адміністрацій</w:t>
      </w:r>
      <w:proofErr w:type="spellEnd"/>
    </w:p>
    <w:p w:rsidR="0049264F" w:rsidRPr="0049264F" w:rsidRDefault="0049264F" w:rsidP="0049264F">
      <w:pPr>
        <w:spacing w:after="43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</w:rPr>
      </w:pP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proofErr w:type="spellStart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>Щодо</w:t>
      </w:r>
      <w:proofErr w:type="spellEnd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>поліпшення</w:t>
      </w:r>
      <w:proofErr w:type="spellEnd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 xml:space="preserve"> превентивного </w:t>
      </w:r>
      <w:proofErr w:type="spellStart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>виховання</w:t>
      </w:r>
      <w:proofErr w:type="spellEnd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br/>
        <w:t xml:space="preserve">та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>проф</w:t>
      </w:r>
      <w:proofErr w:type="gramEnd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>ілактичної</w:t>
      </w:r>
      <w:proofErr w:type="spellEnd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>роботи</w:t>
      </w:r>
      <w:proofErr w:type="spellEnd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>з</w:t>
      </w:r>
      <w:proofErr w:type="spellEnd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>подолання</w:t>
      </w:r>
      <w:proofErr w:type="spellEnd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br/>
      </w:r>
      <w:proofErr w:type="spellStart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>злочинності</w:t>
      </w:r>
      <w:proofErr w:type="spellEnd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>серед</w:t>
      </w:r>
      <w:proofErr w:type="spellEnd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</w:rPr>
        <w:t>неповнолітніх</w:t>
      </w:r>
      <w:proofErr w:type="spellEnd"/>
    </w:p>
    <w:p w:rsidR="0049264F" w:rsidRPr="0049264F" w:rsidRDefault="0049264F" w:rsidP="00492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</w:rPr>
      </w:pP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На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виконання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Комплексної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програми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проф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ілактики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правопорушень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2007—2009 роки,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затвердженої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постановою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Кабінету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Міністрів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України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від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20.12.2006 № 1767,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Міністерством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освіти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науки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України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органами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управління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освітою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педагогічними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колективами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навчальних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закладів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проводиться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організаційна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профілактична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правовиховна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робота,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спрямована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зниження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рівня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серед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. Системна робота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міністерства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консолідація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зусиль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інституцій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ізного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рівня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із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зазначеного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питання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дають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позитивні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результати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.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Упродовж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останніх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років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зберігається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динаміка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зменшення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кількості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злочинці</w:t>
      </w:r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</w:t>
      </w:r>
      <w:proofErr w:type="spellEnd"/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кількості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вчинених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ними.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За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статистичними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даними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МВС,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івень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починаючи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2004 року,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знижується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всій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території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України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.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першому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івріччі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2009 р.,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порівнянні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аналогічним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періодом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минулого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року,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загальна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кількість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вчинених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неповнолітніми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за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їх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участю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знизилася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26,2% —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671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січні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—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червні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2008 р. до 496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першому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півріччі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2009 р.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Зменшилася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14,2%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кількість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які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вчинили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. Так,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першому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івріччі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2009 р., в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порівнянні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аналогічним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періодом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минулого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року,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загальна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кількість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які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скоїли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знизилася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1054 —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7441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січні-червні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2008 року до 6387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першому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півріччі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2009 року. </w:t>
      </w:r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них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кількість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учнів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шкіл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гімназій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ліцеїв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які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скоїли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зменшилась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19,6%.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Зазначена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динаміка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має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тенденцію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до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зниження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переважній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більшості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областей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України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.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Найкращі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результати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—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Харківській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(-31%),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lastRenderedPageBreak/>
        <w:t>Миколаївській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(-26,9%),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Запорізькій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(-22,6%) </w:t>
      </w:r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областях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в АР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Крим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(-25,2%).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Зменшилася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26,2 %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кількість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вчинених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неповнолітніми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сфері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обігу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наркотичних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засобів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психотропних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речовин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їх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аналогів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або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прекурсорів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.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Найменше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зазначених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правопорушень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—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</w:t>
      </w:r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.С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евастополі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(1),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Волинській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(2),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Рівненській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(3),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Закарпатській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Чернігівській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(по 5) областях.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Значно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зменшилась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кількість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таких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Волинській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(-88,2%),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Київській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(-74,3%),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вдвічі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—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Житомирській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Харківській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Донецькій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областях.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Зменшилася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19% (на 240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учнів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)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кількість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втягнутих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злочинну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діяльність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.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Найвагоміші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позитивні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зрушення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щодо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зазначеної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проблеми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зафіксовано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Полтавській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(-56,8%),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Сумській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(-47,8%), </w:t>
      </w:r>
      <w:proofErr w:type="spellStart"/>
      <w:r w:rsidRPr="0049264F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>Кіровоградській</w:t>
      </w:r>
      <w:proofErr w:type="spellEnd"/>
      <w:r w:rsidRPr="0049264F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 xml:space="preserve"> (-46,4%)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Херсонській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івненській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(по -44%) областях.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Зменшилася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32,6%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кількість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які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стали жертвами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зґвалтувань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або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замахів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), на 22,2% — жертвами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умисних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тілесних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ушкоджень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; на 34.2%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менше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учнів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потрапили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у ДТП.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Разом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тим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незважаючи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загальні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позитивні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тенденції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аналіз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стану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ідліткової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свідчить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криміногенна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ситуація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дитячому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підлітковому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середовищі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залишається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складною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тривожною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зазначена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проблема —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досить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гострою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актуальною для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суспільства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. Так,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ряді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областей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кількість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які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скоїли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зросла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: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Львівській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— на 19,4%,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Волинській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— на 13%,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Чернігівській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— на 9,9%. За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оперативними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даними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МВС, на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медичних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обл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іках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наркоспоживачів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перебуває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3,4 тис.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.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Київській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Черкаській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областях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збільшилася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кількість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втягнутих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злочинну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діяльність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відповідно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55,6%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33,3%).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Насторожує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той факт,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979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скоїли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стані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алкогольного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сп’яніння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814 — повторно, на 12,9%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зросло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число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які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потерпіли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внаслідок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торгі</w:t>
      </w:r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вл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людьми.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Міністерство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освіти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науки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України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вважає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необхідним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продовження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цілеспрямованої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системної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роботи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щодо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проф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ілактики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правопорушень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серед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учнів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загальноосвітніх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професійно-технічних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навчальних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закладів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. З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цією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метою: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1.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Міністерству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освіти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науки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Автономної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республіки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Крим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управлінням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освіти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науки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обласних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Київської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Севастопольської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міських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державних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адміністрацій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: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-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проводити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щоквартально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моніторинг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стану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правопорушень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серед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узагальнювати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його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результати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розробляти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рекомендації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щодо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поліпшення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превентивно-профілактичної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роботи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lastRenderedPageBreak/>
        <w:t>попередження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дитячої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бездоглядності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безпритульності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;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-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вжити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заходів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щодо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забезпечення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змістовного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дозвілля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зайнятості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учнівської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молоді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позаурочний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час шляхом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створення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умов для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здобуття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позашкільної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освіти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розвитку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мережі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гуртків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загальноосвітніх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навчальних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закладах,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спортивні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секції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;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- систематично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проводити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спільно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працівниками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МВС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соц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іальних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служб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акції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«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Канікули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», «Урок», «Вокзал»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тощо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спрямовані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запобігання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серед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дитячій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бездоглядності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безпритульності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.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2.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Керівникам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загальноосвітніх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професійно-технічних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навчальних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закладів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: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-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сформувати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у кожному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загальноосвітньому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професійно-технічному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навчальному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закладі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банки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даних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про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учнів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схильних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до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правопорушень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організувати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їх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психолого-педагогічний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супровід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;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-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вжити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заходів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щодо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ідвищення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рівня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психолого-педагогічного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діагностування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учнів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проведення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ними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індивідуальної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правовиховної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роботи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;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-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вжити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заходів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щодо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залучення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дітей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«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групи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ризику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» до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позашкільної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освіти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до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організованих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форм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відпочинку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в т.ч.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канікулярний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період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;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-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залучати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органи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громадського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самоврядування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закладу </w:t>
      </w:r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до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проведення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превентивно-профілактичних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заходів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;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-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приділити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належну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увагу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просвітницькій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роботі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серед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батьків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.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Про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проведену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роботу просимо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інформувати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міністерство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терміни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визначені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наказом МОН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від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20.01.2007 № 27 «Про заходи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Міністерства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освіти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науки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України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виконання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Комплексної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програми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проф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ілактики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правопорушень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2007—2009 роки», за формою,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додається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.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proofErr w:type="spellStart"/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Крім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того, для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узагальнення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й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аналізу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міністерством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стану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правопорушень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серед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неповнолітніх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просимо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подавати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щоквартально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(до 5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квітня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до 5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липня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до 5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жовтня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до 5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січня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)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відділу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позашкільної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освіти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виховної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роботи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захисту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прав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дитини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статистичні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дані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на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паперових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магнітних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носіях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(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e-mail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: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a_serednytska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@</w:t>
      </w:r>
      <w:proofErr w:type="gram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mon.gov.ua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) за формами,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додаються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:</w:t>
      </w:r>
      <w:proofErr w:type="gram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  <w:t xml:space="preserve">Лист МОН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від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17.05.2004 № 32/9-448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щодо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звітності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про стан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злочинності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правопорушень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серед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учнів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загальноосвітніх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і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професійно-технічних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навчальних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закладів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вважати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таким,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що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втратив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чинність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.</w:t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br/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Додаток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: на 5 </w:t>
      </w:r>
      <w:proofErr w:type="spellStart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арк</w:t>
      </w:r>
      <w:proofErr w:type="spellEnd"/>
      <w:r w:rsidRPr="0049264F">
        <w:rPr>
          <w:rFonts w:ascii="Times New Roman" w:eastAsia="Times New Roman" w:hAnsi="Times New Roman" w:cs="Times New Roman"/>
          <w:color w:val="003300"/>
          <w:sz w:val="28"/>
          <w:szCs w:val="28"/>
        </w:rPr>
        <w:t>.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49264F" w:rsidRPr="0049264F">
        <w:trPr>
          <w:tblCellSpacing w:w="7" w:type="dxa"/>
        </w:trPr>
        <w:tc>
          <w:tcPr>
            <w:tcW w:w="0" w:type="auto"/>
            <w:vAlign w:val="center"/>
            <w:hideMark/>
          </w:tcPr>
          <w:p w:rsidR="0049264F" w:rsidRPr="0049264F" w:rsidRDefault="0049264F" w:rsidP="0049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49264F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Заступник </w:t>
            </w:r>
            <w:proofErr w:type="spellStart"/>
            <w:r w:rsidRPr="0049264F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Міністра</w:t>
            </w:r>
            <w:proofErr w:type="spellEnd"/>
          </w:p>
        </w:tc>
      </w:tr>
    </w:tbl>
    <w:p w:rsidR="00DB6E92" w:rsidRDefault="00DB6E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0D1A" w:rsidRDefault="00820D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0D1A" w:rsidRDefault="00820D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0D1A" w:rsidRPr="00820D1A" w:rsidRDefault="00820D1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20D1A" w:rsidRPr="00820D1A" w:rsidSect="0097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9264F"/>
    <w:rsid w:val="0049264F"/>
    <w:rsid w:val="00771B9A"/>
    <w:rsid w:val="00820D1A"/>
    <w:rsid w:val="00977FFE"/>
    <w:rsid w:val="00DB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5496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koippo</cp:lastModifiedBy>
  <cp:revision>4</cp:revision>
  <cp:lastPrinted>2014-01-21T06:11:00Z</cp:lastPrinted>
  <dcterms:created xsi:type="dcterms:W3CDTF">2014-01-20T20:13:00Z</dcterms:created>
  <dcterms:modified xsi:type="dcterms:W3CDTF">2014-01-21T06:11:00Z</dcterms:modified>
</cp:coreProperties>
</file>